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3FE9" w14:textId="77777777" w:rsidR="00BA3A2F" w:rsidRDefault="006926BE">
      <w:pPr>
        <w:pStyle w:val="Body"/>
        <w:jc w:val="center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Maintel Holdings Plc</w:t>
      </w:r>
    </w:p>
    <w:p w14:paraId="5BC991FA" w14:textId="77777777" w:rsidR="00BA3A2F" w:rsidRDefault="006926BE">
      <w:pPr>
        <w:pStyle w:val="Body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“</w:t>
      </w:r>
      <w:r>
        <w:rPr>
          <w:rFonts w:ascii="Century Gothic" w:hAnsi="Century Gothic"/>
          <w:sz w:val="20"/>
          <w:szCs w:val="20"/>
          <w:lang w:val="fr-FR"/>
        </w:rPr>
        <w:t>Maintel</w:t>
      </w:r>
      <w:r>
        <w:rPr>
          <w:rFonts w:ascii="Century Gothic" w:hAnsi="Century Gothic"/>
          <w:sz w:val="20"/>
          <w:szCs w:val="20"/>
        </w:rPr>
        <w:t>”</w:t>
      </w:r>
      <w:r>
        <w:rPr>
          <w:rFonts w:ascii="Century Gothic" w:hAnsi="Century Gothic"/>
          <w:sz w:val="20"/>
          <w:szCs w:val="20"/>
        </w:rPr>
        <w:t xml:space="preserve">, the </w:t>
      </w:r>
      <w:r>
        <w:rPr>
          <w:rFonts w:ascii="Century Gothic" w:hAnsi="Century Gothic"/>
          <w:sz w:val="20"/>
          <w:szCs w:val="20"/>
        </w:rPr>
        <w:t>“</w:t>
      </w:r>
      <w:r>
        <w:rPr>
          <w:rFonts w:ascii="Century Gothic" w:hAnsi="Century Gothic"/>
          <w:sz w:val="20"/>
          <w:szCs w:val="20"/>
        </w:rPr>
        <w:t>Company</w:t>
      </w:r>
      <w:r>
        <w:rPr>
          <w:rFonts w:ascii="Century Gothic" w:hAnsi="Century Gothic"/>
          <w:sz w:val="20"/>
          <w:szCs w:val="20"/>
        </w:rPr>
        <w:t xml:space="preserve">” </w:t>
      </w:r>
      <w:r>
        <w:rPr>
          <w:rFonts w:ascii="Century Gothic" w:hAnsi="Century Gothic"/>
          <w:sz w:val="20"/>
          <w:szCs w:val="20"/>
        </w:rPr>
        <w:t xml:space="preserve">or the </w:t>
      </w:r>
      <w:r>
        <w:rPr>
          <w:rFonts w:ascii="Century Gothic" w:hAnsi="Century Gothic"/>
          <w:sz w:val="20"/>
          <w:szCs w:val="20"/>
        </w:rPr>
        <w:t>“</w:t>
      </w:r>
      <w:r>
        <w:rPr>
          <w:rFonts w:ascii="Century Gothic" w:hAnsi="Century Gothic"/>
          <w:sz w:val="20"/>
          <w:szCs w:val="20"/>
          <w:lang w:val="fr-FR"/>
        </w:rPr>
        <w:t>Group</w:t>
      </w:r>
      <w:r>
        <w:rPr>
          <w:rFonts w:ascii="Century Gothic" w:hAnsi="Century Gothic"/>
          <w:sz w:val="20"/>
          <w:szCs w:val="20"/>
        </w:rPr>
        <w:t>”</w:t>
      </w:r>
      <w:r>
        <w:rPr>
          <w:rFonts w:ascii="Century Gothic" w:hAnsi="Century Gothic"/>
          <w:sz w:val="20"/>
          <w:szCs w:val="20"/>
        </w:rPr>
        <w:t>)</w:t>
      </w:r>
    </w:p>
    <w:p w14:paraId="5EF216D5" w14:textId="77777777" w:rsidR="00BA3A2F" w:rsidRDefault="006926BE">
      <w:pPr>
        <w:pStyle w:val="Body"/>
        <w:jc w:val="center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Board Update</w:t>
      </w:r>
    </w:p>
    <w:p w14:paraId="0862E29E" w14:textId="77777777" w:rsidR="00BA3A2F" w:rsidRDefault="006926BE">
      <w:pPr>
        <w:pStyle w:val="PlainText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Maintel Holdings Plc, a leading provider of cloud, </w:t>
      </w:r>
      <w:proofErr w:type="gramStart"/>
      <w:r>
        <w:rPr>
          <w:rFonts w:ascii="Century Gothic" w:hAnsi="Century Gothic"/>
          <w:sz w:val="20"/>
          <w:szCs w:val="20"/>
        </w:rPr>
        <w:t>network</w:t>
      </w:r>
      <w:proofErr w:type="gramEnd"/>
      <w:r>
        <w:rPr>
          <w:rFonts w:ascii="Century Gothic" w:hAnsi="Century Gothic"/>
          <w:sz w:val="20"/>
          <w:szCs w:val="20"/>
        </w:rPr>
        <w:t xml:space="preserve"> and security managed services, is pleased to announce that the Board has elected Carol Thompson as its </w:t>
      </w:r>
      <w:r>
        <w:rPr>
          <w:rFonts w:ascii="Century Gothic" w:hAnsi="Century Gothic"/>
          <w:sz w:val="20"/>
          <w:szCs w:val="20"/>
        </w:rPr>
        <w:t>Executive Chairman.</w:t>
      </w:r>
      <w:r>
        <w:rPr>
          <w:rFonts w:ascii="Century Gothic" w:hAnsi="Century Gothic"/>
          <w:color w:val="FF0000"/>
          <w:sz w:val="20"/>
          <w:szCs w:val="20"/>
          <w:u w:color="FF000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John Booth, Non-Executive Chairman, will move to the role of Deputy Chairman. These changes take effect immediately. </w:t>
      </w:r>
    </w:p>
    <w:p w14:paraId="549C76D4" w14:textId="77777777" w:rsidR="00BA3A2F" w:rsidRDefault="00BA3A2F">
      <w:pPr>
        <w:pStyle w:val="PlainText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1877C09" w14:textId="77777777" w:rsidR="00BA3A2F" w:rsidRDefault="006926BE">
      <w:pPr>
        <w:pStyle w:val="PlainText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Carol has been on the Board for just over a year as a Non-Executive Director and has demonstrated strategic insights,</w:t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energy</w:t>
      </w:r>
      <w:proofErr w:type="gramEnd"/>
      <w:r>
        <w:rPr>
          <w:rFonts w:ascii="Century Gothic" w:hAnsi="Century Gothic"/>
          <w:sz w:val="20"/>
          <w:szCs w:val="20"/>
        </w:rPr>
        <w:t xml:space="preserve"> and experience. In view of the economic headwinds and supply chain challenges facing </w:t>
      </w:r>
      <w:proofErr w:type="spellStart"/>
      <w:r>
        <w:rPr>
          <w:rFonts w:ascii="Century Gothic" w:hAnsi="Century Gothic"/>
          <w:sz w:val="20"/>
          <w:szCs w:val="20"/>
        </w:rPr>
        <w:t>Maintel</w:t>
      </w:r>
      <w:r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</w:rPr>
        <w:t>s</w:t>
      </w:r>
      <w:proofErr w:type="spellEnd"/>
      <w:r>
        <w:rPr>
          <w:rFonts w:ascii="Century Gothic" w:hAnsi="Century Gothic"/>
          <w:sz w:val="20"/>
          <w:szCs w:val="20"/>
        </w:rPr>
        <w:t xml:space="preserve"> sector, the Board has determined that her position will now become Executive.  </w:t>
      </w:r>
    </w:p>
    <w:p w14:paraId="15AE10A8" w14:textId="77777777" w:rsidR="00BA3A2F" w:rsidRDefault="00BA3A2F">
      <w:pPr>
        <w:pStyle w:val="PlainText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1C1B706" w14:textId="77777777" w:rsidR="00BA3A2F" w:rsidRDefault="006926BE">
      <w:pPr>
        <w:pStyle w:val="PlainText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Board will be commencing a search for a new Independent Non-Executiv</w:t>
      </w:r>
      <w:r>
        <w:rPr>
          <w:rFonts w:ascii="Century Gothic" w:hAnsi="Century Gothic"/>
          <w:sz w:val="20"/>
          <w:szCs w:val="20"/>
        </w:rPr>
        <w:t>e Director, with a technology background in SaaS and Cyber Security to support the Executive team with the continued transformation of Maintel.</w:t>
      </w:r>
    </w:p>
    <w:p w14:paraId="0F9751A6" w14:textId="77777777" w:rsidR="00BA3A2F" w:rsidRDefault="00BA3A2F">
      <w:pPr>
        <w:pStyle w:val="PlainText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B24196F" w14:textId="77777777" w:rsidR="00BA3A2F" w:rsidRDefault="006926BE">
      <w:pPr>
        <w:pStyle w:val="PlainText"/>
        <w:jc w:val="both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John Booth, Deputy Chairman, commented: </w:t>
      </w:r>
    </w:p>
    <w:p w14:paraId="72F07FC7" w14:textId="77777777" w:rsidR="00BA3A2F" w:rsidRDefault="00BA3A2F">
      <w:pPr>
        <w:pStyle w:val="PlainText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F62E7F0" w14:textId="12578246" w:rsidR="00BA3A2F" w:rsidRDefault="006926BE">
      <w:pPr>
        <w:pStyle w:val="PlainText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“</w:t>
      </w:r>
      <w:r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>t has been a pleasure to work with Carol over the last year and I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very much look forward to supporting </w:t>
      </w:r>
      <w:r>
        <w:rPr>
          <w:rFonts w:ascii="Century Gothic" w:hAnsi="Century Gothic"/>
          <w:sz w:val="20"/>
          <w:szCs w:val="20"/>
        </w:rPr>
        <w:t>her</w:t>
      </w:r>
      <w:r>
        <w:rPr>
          <w:rFonts w:ascii="Century Gothic" w:hAnsi="Century Gothic"/>
          <w:sz w:val="20"/>
          <w:szCs w:val="20"/>
        </w:rPr>
        <w:t xml:space="preserve"> as our new Chairman</w:t>
      </w:r>
      <w:r>
        <w:rPr>
          <w:rFonts w:ascii="Century Gothic" w:hAnsi="Century Gothic"/>
          <w:sz w:val="20"/>
          <w:szCs w:val="20"/>
        </w:rPr>
        <w:t xml:space="preserve"> and continuing to serve Maintel as her deputy.</w:t>
      </w:r>
      <w:r>
        <w:rPr>
          <w:rFonts w:ascii="Century Gothic" w:hAnsi="Century Gothic"/>
          <w:sz w:val="20"/>
          <w:szCs w:val="20"/>
        </w:rPr>
        <w:t>”</w:t>
      </w:r>
    </w:p>
    <w:p w14:paraId="6068925D" w14:textId="77777777" w:rsidR="00BA3A2F" w:rsidRDefault="00BA3A2F">
      <w:pPr>
        <w:pStyle w:val="Body"/>
      </w:pPr>
    </w:p>
    <w:p w14:paraId="26C3F21F" w14:textId="77777777" w:rsidR="00BA3A2F" w:rsidRDefault="006926BE">
      <w:pPr>
        <w:pStyle w:val="BodyTextIndent"/>
        <w:tabs>
          <w:tab w:val="clear" w:pos="9780"/>
          <w:tab w:val="decimal" w:pos="8770"/>
        </w:tabs>
        <w:ind w:hanging="360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For further information please contact:</w:t>
      </w:r>
    </w:p>
    <w:tbl>
      <w:tblPr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153"/>
        <w:gridCol w:w="1368"/>
        <w:gridCol w:w="2835"/>
      </w:tblGrid>
      <w:tr w:rsidR="00BA3A2F" w14:paraId="4088E040" w14:textId="77777777">
        <w:trPr>
          <w:trHeight w:val="240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5E29" w14:textId="77777777" w:rsidR="00BA3A2F" w:rsidRDefault="00BA3A2F"/>
        </w:tc>
        <w:tc>
          <w:tcPr>
            <w:tcW w:w="4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2F00" w14:textId="77777777" w:rsidR="00BA3A2F" w:rsidRDefault="00BA3A2F"/>
        </w:tc>
      </w:tr>
      <w:tr w:rsidR="00BA3A2F" w14:paraId="381333C4" w14:textId="77777777">
        <w:trPr>
          <w:trHeight w:val="1078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FDB81" w14:textId="77777777" w:rsidR="00BA3A2F" w:rsidRDefault="006926BE">
            <w:pPr>
              <w:pStyle w:val="Body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Ioan MacRae, Chief Executive </w:t>
            </w:r>
            <w:r>
              <w:rPr>
                <w:rFonts w:ascii="Century Gothic" w:hAnsi="Century Gothic"/>
                <w:sz w:val="20"/>
                <w:szCs w:val="20"/>
              </w:rPr>
              <w:t>Officer</w:t>
            </w:r>
          </w:p>
          <w:p w14:paraId="2164BF0E" w14:textId="77777777" w:rsidR="00BA3A2F" w:rsidRDefault="006926BE">
            <w:pPr>
              <w:pStyle w:val="Body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Gab Pirona, Chief Financial Officer</w:t>
            </w:r>
          </w:p>
          <w:p w14:paraId="310231BC" w14:textId="77777777" w:rsidR="00BA3A2F" w:rsidRDefault="006926BE">
            <w:pPr>
              <w:pStyle w:val="Body"/>
            </w:pPr>
            <w:r>
              <w:rPr>
                <w:rFonts w:ascii="Century Gothic" w:hAnsi="Century Gothic"/>
                <w:sz w:val="20"/>
                <w:szCs w:val="20"/>
              </w:rPr>
              <w:t xml:space="preserve">Dan Davies, Chief Technology Officer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AD53C" w14:textId="77777777" w:rsidR="00BA3A2F" w:rsidRDefault="006926BE">
            <w:pPr>
              <w:pStyle w:val="Heading2"/>
              <w:tabs>
                <w:tab w:val="clear" w:pos="9780"/>
                <w:tab w:val="decimal" w:pos="8770"/>
              </w:tabs>
            </w:pPr>
            <w:r>
              <w:rPr>
                <w:rFonts w:ascii="Century Gothic" w:hAnsi="Century Gothic"/>
                <w:b w:val="0"/>
                <w:bCs w:val="0"/>
              </w:rPr>
              <w:t>0344 871 1122</w:t>
            </w:r>
          </w:p>
        </w:tc>
      </w:tr>
      <w:tr w:rsidR="00BA3A2F" w14:paraId="6EC5519A" w14:textId="77777777">
        <w:trPr>
          <w:trHeight w:val="24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5BF4B" w14:textId="77777777" w:rsidR="00BA3A2F" w:rsidRDefault="00BA3A2F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78F5" w14:textId="77777777" w:rsidR="00BA3A2F" w:rsidRDefault="00BA3A2F"/>
        </w:tc>
      </w:tr>
      <w:tr w:rsidR="00BA3A2F" w14:paraId="426B7FE3" w14:textId="77777777">
        <w:trPr>
          <w:trHeight w:val="24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71DD" w14:textId="77777777" w:rsidR="00BA3A2F" w:rsidRDefault="006926BE">
            <w:pPr>
              <w:pStyle w:val="Heading2"/>
              <w:tabs>
                <w:tab w:val="clear" w:pos="9780"/>
                <w:tab w:val="decimal" w:pos="8770"/>
              </w:tabs>
            </w:pPr>
            <w:proofErr w:type="spellStart"/>
            <w:r>
              <w:rPr>
                <w:rFonts w:ascii="Century Gothic" w:hAnsi="Century Gothic"/>
              </w:rPr>
              <w:t>finnCap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  <w:b w:val="0"/>
                <w:bCs w:val="0"/>
              </w:rPr>
              <w:t>(Nomad and Broker)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FAEF" w14:textId="77777777" w:rsidR="00BA3A2F" w:rsidRDefault="00BA3A2F"/>
        </w:tc>
      </w:tr>
      <w:tr w:rsidR="00BA3A2F" w14:paraId="5924735D" w14:textId="77777777">
        <w:trPr>
          <w:trHeight w:val="899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5F1DF" w14:textId="77777777" w:rsidR="00BA3A2F" w:rsidRDefault="006926BE">
            <w:pPr>
              <w:pStyle w:val="Heading2"/>
              <w:tabs>
                <w:tab w:val="clear" w:pos="9780"/>
                <w:tab w:val="decimal" w:pos="8770"/>
              </w:tabs>
              <w:rPr>
                <w:rFonts w:ascii="Century Gothic" w:eastAsia="Century Gothic" w:hAnsi="Century Gothic" w:cs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Jonny Franklin-Adams / Emily Watts (Corporate Finance)</w:t>
            </w:r>
          </w:p>
          <w:p w14:paraId="31ECB9A6" w14:textId="77777777" w:rsidR="00BA3A2F" w:rsidRDefault="006926BE">
            <w:pPr>
              <w:pStyle w:val="Body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Sunila de Silva (Corporate Broking)</w:t>
            </w:r>
          </w:p>
          <w:p w14:paraId="619AF3A3" w14:textId="77777777" w:rsidR="00BA3A2F" w:rsidRDefault="006926BE">
            <w:pPr>
              <w:pStyle w:val="Body"/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1A85B" w14:textId="77777777" w:rsidR="00BA3A2F" w:rsidRDefault="006926BE">
            <w:pPr>
              <w:pStyle w:val="Heading2"/>
              <w:tabs>
                <w:tab w:val="clear" w:pos="9780"/>
                <w:tab w:val="decimal" w:pos="8770"/>
              </w:tabs>
            </w:pPr>
            <w:r>
              <w:rPr>
                <w:rFonts w:ascii="Century Gothic" w:hAnsi="Century Gothic"/>
                <w:b w:val="0"/>
                <w:bCs w:val="0"/>
              </w:rPr>
              <w:t>020 7220 0500</w:t>
            </w:r>
          </w:p>
        </w:tc>
      </w:tr>
      <w:tr w:rsidR="00BA3A2F" w14:paraId="5EE53E90" w14:textId="77777777">
        <w:trPr>
          <w:trHeight w:val="1139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A9B7D" w14:textId="77777777" w:rsidR="00BA3A2F" w:rsidRDefault="006926BE">
            <w:pPr>
              <w:pStyle w:val="Heading2"/>
              <w:tabs>
                <w:tab w:val="clear" w:pos="9780"/>
                <w:tab w:val="decimal" w:pos="8770"/>
              </w:tabs>
              <w:rPr>
                <w:rFonts w:ascii="Century Gothic" w:eastAsia="Century Gothic" w:hAnsi="Century Gothic" w:cs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Oakley Advisory, </w:t>
            </w:r>
            <w:r>
              <w:rPr>
                <w:rFonts w:ascii="Century Gothic" w:hAnsi="Century Gothic"/>
                <w:b w:val="0"/>
                <w:bCs w:val="0"/>
              </w:rPr>
              <w:t>(Financial Advisors)</w:t>
            </w:r>
          </w:p>
          <w:p w14:paraId="22DBE90C" w14:textId="77777777" w:rsidR="00BA3A2F" w:rsidRDefault="006926BE">
            <w:pPr>
              <w:pStyle w:val="Heading2"/>
              <w:tabs>
                <w:tab w:val="clear" w:pos="9780"/>
                <w:tab w:val="decimal" w:pos="8770"/>
              </w:tabs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Christian Maher </w:t>
            </w:r>
          </w:p>
          <w:p w14:paraId="698834A5" w14:textId="77777777" w:rsidR="00BA3A2F" w:rsidRDefault="00BA3A2F">
            <w:pPr>
              <w:pStyle w:val="Body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9587C21" w14:textId="77777777" w:rsidR="00BA3A2F" w:rsidRDefault="006926BE">
            <w:pPr>
              <w:pStyle w:val="Body"/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EBDD4" w14:textId="77777777" w:rsidR="00BA3A2F" w:rsidRDefault="006926BE">
            <w:pPr>
              <w:pStyle w:val="Heading2"/>
              <w:tabs>
                <w:tab w:val="clear" w:pos="9780"/>
                <w:tab w:val="decimal" w:pos="8770"/>
              </w:tabs>
            </w:pPr>
            <w:r>
              <w:rPr>
                <w:rFonts w:ascii="Century Gothic" w:hAnsi="Century Gothic"/>
                <w:b w:val="0"/>
                <w:bCs w:val="0"/>
              </w:rPr>
              <w:t>020 7766 6900</w:t>
            </w:r>
          </w:p>
        </w:tc>
      </w:tr>
    </w:tbl>
    <w:p w14:paraId="1B9DFE45" w14:textId="77777777" w:rsidR="00BA3A2F" w:rsidRDefault="00BA3A2F">
      <w:pPr>
        <w:pStyle w:val="BodyTextIndent"/>
        <w:widowControl w:val="0"/>
        <w:tabs>
          <w:tab w:val="clear" w:pos="9780"/>
          <w:tab w:val="decimal" w:pos="8770"/>
        </w:tabs>
        <w:ind w:left="0"/>
      </w:pPr>
    </w:p>
    <w:sectPr w:rsidR="00BA3A2F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241B" w14:textId="77777777" w:rsidR="00000000" w:rsidRDefault="006926BE">
      <w:r>
        <w:separator/>
      </w:r>
    </w:p>
  </w:endnote>
  <w:endnote w:type="continuationSeparator" w:id="0">
    <w:p w14:paraId="1C6DC071" w14:textId="77777777" w:rsidR="00000000" w:rsidRDefault="0069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DDE2" w14:textId="77777777" w:rsidR="00BA3A2F" w:rsidRDefault="00BA3A2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61FF" w14:textId="77777777" w:rsidR="00000000" w:rsidRDefault="006926BE">
      <w:r>
        <w:separator/>
      </w:r>
    </w:p>
  </w:footnote>
  <w:footnote w:type="continuationSeparator" w:id="0">
    <w:p w14:paraId="32EA311C" w14:textId="77777777" w:rsidR="00000000" w:rsidRDefault="0069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2844" w14:textId="77777777" w:rsidR="00BA3A2F" w:rsidRDefault="00BA3A2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2F"/>
    <w:rsid w:val="006926BE"/>
    <w:rsid w:val="00B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A7C5"/>
  <w15:docId w15:val="{58CDA50C-088C-49D2-B3AA-B10FBF7E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tabs>
        <w:tab w:val="left" w:pos="232"/>
        <w:tab w:val="decimal" w:pos="5811"/>
        <w:tab w:val="decimal" w:pos="8079"/>
        <w:tab w:val="decimal" w:pos="9780"/>
      </w:tabs>
      <w:outlineLvl w:val="1"/>
    </w:pPr>
    <w:rPr>
      <w:rFonts w:ascii="Verdana" w:hAnsi="Verdana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BodyTextIndent">
    <w:name w:val="Body Text Indent"/>
    <w:pPr>
      <w:tabs>
        <w:tab w:val="left" w:pos="360"/>
        <w:tab w:val="decimal" w:pos="3420"/>
        <w:tab w:val="decimal" w:pos="5760"/>
        <w:tab w:val="decimal" w:pos="6945"/>
        <w:tab w:val="decimal" w:pos="8362"/>
        <w:tab w:val="decimal" w:pos="9780"/>
      </w:tabs>
      <w:ind w:left="360"/>
    </w:pPr>
    <w:rPr>
      <w:rFonts w:ascii="Verdana" w:hAnsi="Verdana" w:cs="Arial Unicode MS"/>
      <w:color w:val="000000"/>
      <w:sz w:val="18"/>
      <w:szCs w:val="18"/>
      <w:u w:color="000000"/>
      <w:lang w:val="en-US"/>
    </w:rPr>
  </w:style>
  <w:style w:type="paragraph" w:styleId="Revision">
    <w:name w:val="Revision"/>
    <w:hidden/>
    <w:uiPriority w:val="99"/>
    <w:semiHidden/>
    <w:rsid w:val="006926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4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 MacRae</cp:lastModifiedBy>
  <cp:revision>2</cp:revision>
  <dcterms:created xsi:type="dcterms:W3CDTF">2022-10-31T18:39:00Z</dcterms:created>
  <dcterms:modified xsi:type="dcterms:W3CDTF">2022-10-31T18:39:00Z</dcterms:modified>
</cp:coreProperties>
</file>